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ACTA DE ASAMBLEA GENERAL ORDINARIA No. 14</w:t>
      </w:r>
    </w:p>
    <w:p>
      <w:r>
        <w:t>Condominio Jacarandas 120, Ciudad de México (ejemplo ficticio)</w:t>
      </w:r>
    </w:p>
    <w:p>
      <w:pPr>
        <w:spacing w:before="160"/>
      </w:pPr>
      <w:r>
        <w:rPr>
          <w:b/>
        </w:rPr>
        <w:t>1. Encabezado</w:t>
      </w:r>
    </w:p>
    <w:p>
      <w:r>
        <w:t>En la Ciudad de México, siendo las 19:10 horas del sábado 31 de octubre de 2026, en el salón de usos múltiples del condominio Jacarandas 120, se reunieron los condóminos que firman la lista de asistencia anexa para celebrar la Asamblea General Ordinaria, convocada el 20 de octubre de 2026 por la administración.</w:t>
      </w:r>
    </w:p>
    <w:p>
      <w:pPr>
        <w:spacing w:before="160"/>
      </w:pPr>
      <w:r>
        <w:rPr>
          <w:b/>
        </w:rPr>
        <w:t>2. Asistentes y quórum</w:t>
      </w:r>
    </w:p>
    <w:p>
      <w:r>
        <w:t>Preside: Jorge Salinas (presidente). Secretaria: Mariana Ríos. Firmaron la lista de asistencia 14 de 20 departamentos, que representan el 72 % del indiviso. Hay quórum.</w:t>
      </w:r>
    </w:p>
    <w:p>
      <w:pPr>
        <w:spacing w:before="160"/>
      </w:pPr>
      <w:r>
        <w:rPr>
          <w:b/>
        </w:rPr>
        <w:t>3. Orden del día</w:t>
      </w:r>
    </w:p>
    <w:p>
      <w:r>
        <w:t>I. Lectura del acta anterior</w:t>
      </w:r>
    </w:p>
    <w:p>
      <w:r>
        <w:t>II. Informe de cuotas de mantenimiento</w:t>
      </w:r>
    </w:p>
    <w:p>
      <w:r>
        <w:t>III. Cambio de la bomba de agua</w:t>
      </w:r>
    </w:p>
    <w:p>
      <w:r>
        <w:t>IV. Asuntos generales</w:t>
      </w:r>
    </w:p>
    <w:p>
      <w:pPr>
        <w:spacing w:before="160"/>
      </w:pPr>
      <w:r>
        <w:rPr>
          <w:b/>
        </w:rPr>
        <w:t>4. Desarrollo de la reunión</w:t>
      </w:r>
    </w:p>
    <w:p>
      <w:r>
        <w:t>Punto I. El acta de la asamblea del 29 de agosto de 2026 se envió por el grupo de WhatsApp del condominio. No se recibieron observaciones y se tiene por aprobada.</w:t>
      </w:r>
    </w:p>
    <w:p>
      <w:r>
        <w:t>Punto II. La administración informa que siete departamentos deben cuotas de mantenimiento, con un adeudo total de $42,600.00. Ernesto (departamento 302) propone suspender el control del estacionamiento de visitas a quien deba más de tres meses, hasta que se ponga al corriente.</w:t>
      </w:r>
    </w:p>
    <w:p>
      <w:r>
        <w:t>Punto III. Se presentan dos cotizaciones: Hidrobombas del Valle, $18,500.00 con IVA, con seis meses de garantía; Aquatec, $21,900.00, con dos años de garantía.</w:t>
      </w:r>
    </w:p>
    <w:p>
      <w:r>
        <w:t>Punto IV. No se registran asuntos generales.</w:t>
      </w:r>
    </w:p>
    <w:p>
      <w:pPr>
        <w:spacing w:before="160"/>
      </w:pPr>
      <w:r>
        <w:rPr>
          <w:b/>
        </w:rPr>
        <w:t>5. Acuerdos</w:t>
      </w:r>
    </w:p>
    <w:tbl>
      <w:tblPr>
        <w:tblStyle w:val="TableGrid"/>
        <w:tblW w:type="auto" w:w="0"/>
        <w:tblLayout w:type="fixed"/>
        <w:tblLook w:firstColumn="1" w:firstRow="1" w:lastColumn="0" w:lastRow="0" w:noHBand="0" w:noVBand="1" w:val="04A0"/>
      </w:tblPr>
      <w:tblGrid>
        <w:gridCol w:w="680"/>
        <w:gridCol w:w="3288"/>
        <w:gridCol w:w="1474"/>
        <w:gridCol w:w="1928"/>
        <w:gridCol w:w="1474"/>
      </w:tblGrid>
      <w:tr>
        <w:tc>
          <w:tcPr>
            <w:tcW w:type="dxa" w:w="680"/>
          </w:tcPr>
          <w:p>
            <w:r>
              <w:rPr>
                <w:b/>
              </w:rPr>
              <w:t>No.</w:t>
            </w:r>
          </w:p>
        </w:tc>
        <w:tc>
          <w:tcPr>
            <w:tcW w:type="dxa" w:w="3288"/>
          </w:tcPr>
          <w:p>
            <w:r>
              <w:rPr>
                <w:b/>
              </w:rPr>
              <w:t>Acuerdo</w:t>
            </w:r>
          </w:p>
        </w:tc>
        <w:tc>
          <w:tcPr>
            <w:tcW w:type="dxa" w:w="1474"/>
          </w:tcPr>
          <w:p>
            <w:r>
              <w:rPr>
                <w:b/>
              </w:rPr>
              <w:t>Votación</w:t>
            </w:r>
          </w:p>
        </w:tc>
        <w:tc>
          <w:tcPr>
            <w:tcW w:type="dxa" w:w="1928"/>
          </w:tcPr>
          <w:p>
            <w:r>
              <w:rPr>
                <w:b/>
              </w:rPr>
              <w:t>Responsable</w:t>
            </w:r>
          </w:p>
        </w:tc>
        <w:tc>
          <w:tcPr>
            <w:tcW w:type="dxa" w:w="1474"/>
          </w:tcPr>
          <w:p>
            <w:r>
              <w:rPr>
                <w:b/>
              </w:rPr>
              <w:t>Fecha límite</w:t>
            </w:r>
          </w:p>
        </w:tc>
      </w:tr>
      <w:tr>
        <w:tc>
          <w:tcPr>
            <w:tcW w:type="dxa" w:w="680"/>
          </w:tcPr>
          <w:p>
            <w:r>
              <w:t>1</w:t>
            </w:r>
          </w:p>
        </w:tc>
        <w:tc>
          <w:tcPr>
            <w:tcW w:type="dxa" w:w="3288"/>
          </w:tcPr>
          <w:p>
            <w:r>
              <w:t>Se suspende el control del estacionamiento de visitas a los departamentos con más de tres meses de adeudo, hasta que se pongan al corriente.</w:t>
            </w:r>
          </w:p>
        </w:tc>
        <w:tc>
          <w:tcPr>
            <w:tcW w:type="dxa" w:w="1474"/>
          </w:tcPr>
          <w:p>
            <w:r>
              <w:t>10 / 2 / 2 (mayoría)</w:t>
            </w:r>
          </w:p>
        </w:tc>
        <w:tc>
          <w:tcPr>
            <w:tcW w:type="dxa" w:w="1928"/>
          </w:tcPr>
          <w:p>
            <w:r>
              <w:t>Administración</w:t>
            </w:r>
          </w:p>
        </w:tc>
        <w:tc>
          <w:tcPr>
            <w:tcW w:type="dxa" w:w="1474"/>
          </w:tcPr>
          <w:p>
            <w:r>
              <w:t>Inmediato</w:t>
            </w:r>
          </w:p>
        </w:tc>
      </w:tr>
      <w:tr>
        <w:tc>
          <w:tcPr>
            <w:tcW w:type="dxa" w:w="680"/>
          </w:tcPr>
          <w:p>
            <w:r>
              <w:t>2</w:t>
            </w:r>
          </w:p>
        </w:tc>
        <w:tc>
          <w:tcPr>
            <w:tcW w:type="dxa" w:w="3288"/>
          </w:tcPr>
          <w:p>
            <w:r>
              <w:t>Se contrata a Aquatec para el cambio de la bomba de agua, por $21,900.00, con cargo al fondo de reserva.</w:t>
            </w:r>
          </w:p>
        </w:tc>
        <w:tc>
          <w:tcPr>
            <w:tcW w:type="dxa" w:w="1474"/>
          </w:tcPr>
          <w:p>
            <w:r>
              <w:t>11 / 3 / 0 (mayoría)</w:t>
            </w:r>
          </w:p>
        </w:tc>
        <w:tc>
          <w:tcPr>
            <w:tcW w:type="dxa" w:w="1928"/>
          </w:tcPr>
          <w:p>
            <w:r>
              <w:t>Administrador</w:t>
            </w:r>
          </w:p>
        </w:tc>
        <w:tc>
          <w:tcPr>
            <w:tcW w:type="dxa" w:w="1474"/>
          </w:tcPr>
          <w:p>
            <w:r>
              <w:t>15/11/2026</w:t>
            </w:r>
          </w:p>
        </w:tc>
      </w:tr>
      <w:tr>
        <w:tc>
          <w:tcPr>
            <w:tcW w:type="dxa" w:w="680"/>
          </w:tcPr>
          <w:p>
            <w:r>
              <w:t>3</w:t>
            </w:r>
          </w:p>
        </w:tc>
        <w:tc>
          <w:tcPr>
            <w:tcW w:type="dxa" w:w="3288"/>
          </w:tcPr>
          <w:p>
            <w:r>
              <w:t>El administrador envía la factura de Aquatec por correo a los condóminos.</w:t>
            </w:r>
          </w:p>
        </w:tc>
        <w:tc>
          <w:tcPr>
            <w:tcW w:type="dxa" w:w="1474"/>
          </w:tcPr>
          <w:p>
            <w:r>
              <w:t>Sin votación</w:t>
            </w:r>
          </w:p>
        </w:tc>
        <w:tc>
          <w:tcPr>
            <w:tcW w:type="dxa" w:w="1928"/>
          </w:tcPr>
          <w:p>
            <w:r>
              <w:t>Administrador</w:t>
            </w:r>
          </w:p>
        </w:tc>
        <w:tc>
          <w:tcPr>
            <w:tcW w:type="dxa" w:w="1474"/>
          </w:tcPr>
          <w:p>
            <w:r>
              <w:t>Al recibirla</w:t>
            </w:r>
          </w:p>
        </w:tc>
      </w:tr>
    </w:tbl>
    <w:p>
      <w:pPr>
        <w:spacing w:before="160"/>
      </w:pPr>
      <w:r>
        <w:rPr>
          <w:b/>
        </w:rPr>
        <w:t>6. Cierre</w:t>
      </w:r>
    </w:p>
    <w:p>
      <w:r>
        <w:t>No habiendo otro asunto que tratar, se da por terminada la asamblea a las 19:48 horas del mismo día. Firman, para constancia, el presidente, la secretaria y el comité de vigilancia.</w:t>
      </w:r>
    </w:p>
    <w:tbl>
      <w:tblPr>
        <w:tblW w:type="auto" w:w="0"/>
        <w:tblLook w:firstColumn="1" w:firstRow="1" w:lastColumn="0" w:lastRow="0" w:noHBand="0" w:noVBand="1" w:val="04A0"/>
      </w:tblPr>
      <w:tblGrid>
        <w:gridCol w:w="3135"/>
        <w:gridCol w:w="3135"/>
        <w:gridCol w:w="3135"/>
      </w:tblGrid>
      <w:tr>
        <w:tc>
          <w:tcPr>
            <w:tcW w:type="dxa" w:w="3135"/>
          </w:tcPr>
          <w:p>
            <w:pPr>
              <w:jc w:val="center"/>
            </w:pPr>
            <w:r>
              <w:br/>
              <w:t>_______________________</w:t>
            </w:r>
          </w:p>
        </w:tc>
        <w:tc>
          <w:tcPr>
            <w:tcW w:type="dxa" w:w="3135"/>
          </w:tcPr>
          <w:p>
            <w:pPr>
              <w:jc w:val="center"/>
            </w:pPr>
            <w:r>
              <w:br/>
              <w:t>_______________________</w:t>
            </w:r>
          </w:p>
        </w:tc>
        <w:tc>
          <w:tcPr>
            <w:tcW w:type="dxa" w:w="3135"/>
          </w:tcPr>
          <w:p>
            <w:pPr>
              <w:jc w:val="center"/>
            </w:pPr>
            <w:r>
              <w:br/>
              <w:t>_______________________</w:t>
            </w:r>
          </w:p>
        </w:tc>
      </w:tr>
      <w:tr>
        <w:tc>
          <w:tcPr>
            <w:tcW w:type="dxa" w:w="3135"/>
          </w:tcPr>
          <w:p>
            <w:pPr>
              <w:jc w:val="center"/>
            </w:pPr>
            <w:r>
              <w:t>Jorge Salinas</w:t>
              <w:br/>
              <w:t>Presidente</w:t>
            </w:r>
          </w:p>
        </w:tc>
        <w:tc>
          <w:tcPr>
            <w:tcW w:type="dxa" w:w="3135"/>
          </w:tcPr>
          <w:p>
            <w:pPr>
              <w:jc w:val="center"/>
            </w:pPr>
            <w:r>
              <w:t>Mariana Ríos</w:t>
              <w:br/>
              <w:t>Secretaria</w:t>
            </w:r>
          </w:p>
        </w:tc>
        <w:tc>
          <w:tcPr>
            <w:tcW w:type="dxa" w:w="3135"/>
          </w:tcPr>
          <w:p>
            <w:pPr>
              <w:jc w:val="center"/>
            </w:pPr>
            <w:r>
              <w:t>Comité de vigilancia</w:t>
            </w:r>
          </w:p>
        </w:tc>
      </w:tr>
    </w:tbl>
    <w:p>
      <w:r>
        <w:t>Anexos: lista de asistencia, convocatoria, dos cotizaciones, transcripción de la grabación (Typist, Scribe v2).</w:t>
      </w:r>
    </w:p>
    <w:sectPr w:rsidR="00FC693F" w:rsidRPr="0006063C" w:rsidSect="00034616">
      <w:pgSz w:w="12240" w:h="15840"/>
      <w:pgMar w:top="680" w:right="1417" w:bottom="680"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